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APA Header"/>
      </w:pPr>
    </w:p>
    <w:p>
      <w:pPr>
        <w:pStyle w:val="APA"/>
      </w:pPr>
    </w:p>
    <w:p>
      <w:pPr>
        <w:pStyle w:val="APA"/>
      </w:pPr>
    </w:p>
    <w:p>
      <w:pPr>
        <w:pStyle w:val="APA"/>
      </w:pPr>
    </w:p>
    <w:p>
      <w:pPr>
        <w:pStyle w:val="APA"/>
      </w:pPr>
    </w:p>
    <w:p>
      <w:pPr>
        <w:pStyle w:val="APA Header"/>
        <w:rPr>
          <w:rFonts w:ascii="Times New Roman" w:cs="Times New Roman" w:hAnsi="Times New Roman" w:eastAsia="Times New Roman"/>
        </w:rPr>
      </w:pPr>
      <w:bookmarkStart w:name="bkMainTitle" w:id="0"/>
      <w:r>
        <w:rPr>
          <w:rFonts w:ascii="Times New Roman" w:hAnsi="Times New Roman"/>
          <w:rtl w:val="0"/>
          <w:lang w:val="en-US"/>
        </w:rPr>
        <w:t>Administrative Health Care Annotated Bibliography</w:t>
      </w:r>
      <w:bookmarkEnd w:id="0"/>
    </w:p>
    <w:p>
      <w:pPr>
        <w:pStyle w:val="APA Header"/>
        <w:rPr>
          <w:rFonts w:ascii="Times New Roman" w:cs="Times New Roman" w:hAnsi="Times New Roman" w:eastAsia="Times New Roman"/>
        </w:rPr>
      </w:pPr>
      <w:bookmarkStart w:name="bkMainUserName" w:id="1"/>
      <w:r>
        <w:rPr>
          <w:rFonts w:ascii="Times New Roman" w:hAnsi="Times New Roman"/>
          <w:rtl w:val="0"/>
          <w:lang w:val="en-US"/>
        </w:rPr>
        <w:t>Stephanie K. Gonzalez</w:t>
      </w:r>
      <w:bookmarkEnd w:id="1"/>
    </w:p>
    <w:p>
      <w:pPr>
        <w:pStyle w:val="APA Header"/>
        <w:rPr>
          <w:rFonts w:ascii="Times New Roman" w:cs="Times New Roman" w:hAnsi="Times New Roman" w:eastAsia="Times New Roman"/>
        </w:rPr>
      </w:pPr>
      <w:bookmarkStart w:name="bkCourseNum" w:id="2"/>
      <w:r>
        <w:rPr>
          <w:rFonts w:ascii="Times New Roman" w:hAnsi="Times New Roman"/>
          <w:rtl w:val="0"/>
          <w:lang w:val="en-US"/>
        </w:rPr>
        <w:t>HCS/465</w:t>
      </w:r>
      <w:bookmarkEnd w:id="2"/>
    </w:p>
    <w:p>
      <w:pPr>
        <w:pStyle w:val="APA Header"/>
        <w:rPr>
          <w:rFonts w:ascii="Times New Roman" w:cs="Times New Roman" w:hAnsi="Times New Roman" w:eastAsia="Times New Roman"/>
        </w:rPr>
      </w:pPr>
      <w:bookmarkStart w:name="bkDueDate" w:id="3"/>
      <w:r>
        <w:rPr>
          <w:rFonts w:ascii="Times New Roman" w:hAnsi="Times New Roman"/>
          <w:rtl w:val="0"/>
          <w:lang w:val="en-US"/>
        </w:rPr>
        <w:t>March 04, 2019</w:t>
      </w:r>
      <w:bookmarkEnd w:id="3"/>
    </w:p>
    <w:p>
      <w:pPr>
        <w:pStyle w:val="APA Header"/>
        <w:rPr>
          <w:rFonts w:ascii="Times New Roman" w:cs="Times New Roman" w:hAnsi="Times New Roman" w:eastAsia="Times New Roman"/>
        </w:rPr>
      </w:pPr>
      <w:bookmarkStart w:name="bkFacultyName" w:id="4"/>
      <w:r>
        <w:rPr>
          <w:rFonts w:ascii="Times New Roman" w:hAnsi="Times New Roman"/>
          <w:rtl w:val="0"/>
          <w:lang w:val="en-US"/>
        </w:rPr>
        <w:t>Dana Ja</w:t>
      </w:r>
      <w:bookmarkEnd w:id="4"/>
      <w:r>
        <w:rPr>
          <w:rFonts w:ascii="Times New Roman" w:hAnsi="Times New Roman"/>
          <w:rtl w:val="0"/>
          <w:lang w:val="en-US"/>
        </w:rPr>
        <w:t>nkus</w:t>
      </w:r>
    </w:p>
    <w:p>
      <w:pPr>
        <w:pStyle w:val="APA"/>
        <w:sectPr>
          <w:headerReference w:type="default" r:id="rId4"/>
          <w:headerReference w:type="first" r:id="rId5"/>
          <w:footerReference w:type="default" r:id="rId6"/>
          <w:footerReference w:type="first" r:id="rId7"/>
          <w:pgSz w:w="12240" w:h="15840" w:orient="portrait"/>
          <w:pgMar w:top="1440" w:right="1440" w:bottom="1440" w:left="1440" w:header="720" w:footer="720"/>
          <w:titlePg w:val="1"/>
          <w:bidi w:val="0"/>
        </w:sectPr>
      </w:pPr>
    </w:p>
    <w:p>
      <w:pPr>
        <w:pStyle w:val="APA Header"/>
      </w:pPr>
      <w:r>
        <w:rPr>
          <w:rFonts w:ascii="Arial Unicode MS" w:cs="Arial Unicode MS" w:hAnsi="Arial Unicode MS" w:eastAsia="Arial Unicode MS"/>
          <w:b w:val="0"/>
          <w:bCs w:val="0"/>
          <w:i w:val="0"/>
          <w:iCs w:val="0"/>
        </w:rPr>
        <w:br w:type="page"/>
      </w:r>
    </w:p>
    <w:p>
      <w:pPr>
        <w:pStyle w:val="APA Header"/>
        <w:rPr>
          <w:rFonts w:ascii="Times New Roman" w:cs="Times New Roman" w:hAnsi="Times New Roman" w:eastAsia="Times New Roman"/>
        </w:rPr>
      </w:pPr>
      <w:bookmarkStart w:name="bkFirstPageTitle" w:id="5"/>
      <w:r>
        <w:rPr>
          <w:rFonts w:ascii="Times New Roman" w:hAnsi="Times New Roman"/>
          <w:rtl w:val="0"/>
          <w:lang w:val="en-US"/>
        </w:rPr>
        <w:t>Administrative Health Care Annotated Bibliography</w:t>
      </w:r>
      <w:bookmarkEnd w:id="5"/>
    </w:p>
    <w:p>
      <w:pPr>
        <w:pStyle w:val="Body"/>
        <w:spacing w:after="0" w:line="480" w:lineRule="auto"/>
        <w:ind w:left="720" w:hanging="720"/>
        <w:rPr>
          <w:rFonts w:ascii="Times New Roman" w:cs="Times New Roman" w:hAnsi="Times New Roman" w:eastAsia="Times New Roman"/>
          <w:sz w:val="24"/>
          <w:szCs w:val="24"/>
        </w:rPr>
      </w:pPr>
      <w:r>
        <w:rPr>
          <w:rFonts w:ascii="Times New Roman" w:hAnsi="Times New Roman"/>
          <w:sz w:val="24"/>
          <w:szCs w:val="24"/>
          <w:rtl w:val="0"/>
          <w:lang w:val="en-US"/>
        </w:rPr>
        <w:t>Friedman, A. M., Hemler, J. R., Rossetti, E., Clemow, L. P., &amp; Ferrante, J. M. (2012). Obese women's barriers to mammography and pap smear: The possible role of personality. Obesity, 20(8), 1611-1617. doi:http://dx.doi.org.contentproxy.phoenix.edu/10.1038/oby.2012.50</w:t>
      </w:r>
    </w:p>
    <w:p>
      <w:pPr>
        <w:pStyle w:val="Body"/>
        <w:spacing w:after="0" w:line="480" w:lineRule="auto"/>
        <w:ind w:left="720" w:firstLine="0"/>
        <w:rPr>
          <w:rFonts w:ascii="Times New Roman" w:cs="Times New Roman" w:hAnsi="Times New Roman" w:eastAsia="Times New Roman"/>
          <w:sz w:val="24"/>
          <w:szCs w:val="24"/>
          <w:lang w:val="en-US"/>
        </w:rPr>
      </w:pPr>
    </w:p>
    <w:p>
      <w:pPr>
        <w:pStyle w:val="Body"/>
        <w:spacing w:after="0" w:line="480" w:lineRule="auto"/>
        <w:ind w:left="720" w:firstLine="0"/>
        <w:rPr>
          <w:rFonts w:ascii="Times New Roman" w:cs="Times New Roman" w:hAnsi="Times New Roman" w:eastAsia="Times New Roman"/>
          <w:sz w:val="24"/>
          <w:szCs w:val="24"/>
        </w:rPr>
      </w:pPr>
      <w:r>
        <w:rPr>
          <w:rFonts w:ascii="Times New Roman" w:hAnsi="Times New Roman"/>
          <w:sz w:val="24"/>
          <w:szCs w:val="24"/>
          <w:rtl w:val="0"/>
          <w:lang w:val="en-US"/>
        </w:rPr>
        <w:t xml:space="preserve">This article talks about how obese women are at a higher risk for having cervical and breast cancer due to lack of routine checkups. The data that was collected states that individuals are embarrassed, scared of pain and cancer . It took 3 different focus groups in which all were recorded and lasted roughly about 60 </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90 minutes. Participants were asked to describe how they felt when they went to have these screenings done. They were also questioned on their beliefs, influences, habits and the main question of the research how their weight played a role in their health overall. The research was based off of 33 women ranging from ages 40 </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71  from different races and weight ranging from 195 </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360.  This study found that 11 were up to date with both pap smear and mammogram, 6 with pap smear only, 3 with mammogram only, and 13 with neither. </w:t>
      </w:r>
    </w:p>
    <w:p>
      <w:pPr>
        <w:pStyle w:val="Body"/>
        <w:spacing w:after="0" w:line="480" w:lineRule="auto"/>
        <w:ind w:left="720" w:firstLine="0"/>
        <w:rPr>
          <w:rFonts w:ascii="Times New Roman" w:cs="Times New Roman" w:hAnsi="Times New Roman" w:eastAsia="Times New Roman"/>
          <w:sz w:val="24"/>
          <w:szCs w:val="24"/>
          <w:lang w:val="en-US"/>
        </w:rPr>
      </w:pPr>
    </w:p>
    <w:p>
      <w:pPr>
        <w:pStyle w:val="Body"/>
        <w:spacing w:after="0" w:line="480" w:lineRule="auto"/>
        <w:ind w:left="720" w:hanging="720"/>
        <w:rPr>
          <w:rFonts w:ascii="Times New Roman" w:cs="Times New Roman" w:hAnsi="Times New Roman" w:eastAsia="Times New Roman"/>
          <w:sz w:val="24"/>
          <w:szCs w:val="24"/>
        </w:rPr>
      </w:pPr>
      <w:r>
        <w:rPr>
          <w:rFonts w:ascii="Times New Roman" w:hAnsi="Times New Roman"/>
          <w:sz w:val="24"/>
          <w:szCs w:val="24"/>
          <w:rtl w:val="0"/>
          <w:lang w:val="en-US"/>
        </w:rPr>
        <w:t>Kent, D., D</w:t>
      </w:r>
      <w:r>
        <w:rPr>
          <w:rFonts w:ascii="Times New Roman" w:hAnsi="Times New Roman" w:hint="default"/>
          <w:sz w:val="24"/>
          <w:szCs w:val="24"/>
          <w:rtl w:val="0"/>
          <w:lang w:val="en-US"/>
        </w:rPr>
        <w:t>’</w:t>
      </w:r>
      <w:r>
        <w:rPr>
          <w:rFonts w:ascii="Times New Roman" w:hAnsi="Times New Roman"/>
          <w:sz w:val="24"/>
          <w:szCs w:val="24"/>
          <w:rtl w:val="0"/>
          <w:lang w:val="en-US"/>
        </w:rPr>
        <w:t xml:space="preserve">Eramo Melkus, G., Stuart, P. </w:t>
      </w:r>
      <w:r>
        <w:rPr>
          <w:rFonts w:ascii="Times New Roman" w:hAnsi="Times New Roman" w:hint="default"/>
          <w:sz w:val="24"/>
          <w:szCs w:val="24"/>
          <w:rtl w:val="0"/>
          <w:lang w:val="en-US"/>
        </w:rPr>
        <w:t>“</w:t>
      </w:r>
      <w:r>
        <w:rPr>
          <w:rFonts w:ascii="Times New Roman" w:hAnsi="Times New Roman"/>
          <w:sz w:val="24"/>
          <w:szCs w:val="24"/>
          <w:rtl w:val="0"/>
          <w:lang w:val="en-US"/>
        </w:rPr>
        <w:t>Mickey</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W., McKoy, J. M., Urbanski, P., Boren, S. A., </w:t>
      </w:r>
      <w:r>
        <w:rPr>
          <w:rFonts w:ascii="Times New Roman" w:hAnsi="Times New Roman" w:hint="default"/>
          <w:sz w:val="24"/>
          <w:szCs w:val="24"/>
          <w:rtl w:val="0"/>
          <w:lang w:val="en-US"/>
        </w:rPr>
        <w:t xml:space="preserve">… </w:t>
      </w:r>
      <w:r>
        <w:rPr>
          <w:rFonts w:ascii="Times New Roman" w:hAnsi="Times New Roman"/>
          <w:sz w:val="24"/>
          <w:szCs w:val="24"/>
          <w:rtl w:val="0"/>
          <w:lang w:val="en-US"/>
        </w:rPr>
        <w:t>Lipman, R. (2013). Reducing the Risks of Diabetes Complications Through Diabetes Self-Management Education and Support. Population Health Management, 16(2), 74</w:t>
      </w:r>
      <w:r>
        <w:rPr>
          <w:rFonts w:ascii="Times New Roman" w:hAnsi="Times New Roman" w:hint="default"/>
          <w:sz w:val="24"/>
          <w:szCs w:val="24"/>
          <w:rtl w:val="0"/>
          <w:lang w:val="en-US"/>
        </w:rPr>
        <w:t>–</w:t>
      </w:r>
      <w:r>
        <w:rPr>
          <w:rFonts w:ascii="Times New Roman" w:hAnsi="Times New Roman"/>
          <w:sz w:val="24"/>
          <w:szCs w:val="24"/>
          <w:rtl w:val="0"/>
          <w:lang w:val="en-US"/>
        </w:rPr>
        <w:t>81. https://doi-org.contentproxy.phoenix.edu/10.1089/pop.2012.0020</w:t>
      </w:r>
    </w:p>
    <w:p>
      <w:pPr>
        <w:pStyle w:val="Body"/>
        <w:spacing w:after="0" w:line="480" w:lineRule="auto"/>
        <w:ind w:left="720" w:hanging="720"/>
        <w:rPr>
          <w:rFonts w:ascii="Times New Roman" w:cs="Times New Roman" w:hAnsi="Times New Roman" w:eastAsia="Times New Roman"/>
          <w:sz w:val="24"/>
          <w:szCs w:val="24"/>
          <w:lang w:val="en-US"/>
        </w:rPr>
      </w:pPr>
    </w:p>
    <w:p>
      <w:pPr>
        <w:pStyle w:val="Body"/>
        <w:spacing w:after="0" w:line="480" w:lineRule="auto"/>
        <w:ind w:left="720" w:hanging="720"/>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This article talks about how patients with diabetes are at a higher risk for more complications in their health that can contribute to morbidity and mortality. In this article we learn that diabetes is the leading cause of blindness in patients that are 20 </w:t>
      </w:r>
      <w:r>
        <w:rPr>
          <w:rFonts w:ascii="Times New Roman" w:hAnsi="Times New Roman" w:hint="default"/>
          <w:sz w:val="24"/>
          <w:szCs w:val="24"/>
          <w:rtl w:val="0"/>
          <w:lang w:val="en-US"/>
        </w:rPr>
        <w:t xml:space="preserve">– </w:t>
      </w:r>
      <w:r>
        <w:rPr>
          <w:rFonts w:ascii="Times New Roman" w:hAnsi="Times New Roman"/>
          <w:sz w:val="24"/>
          <w:szCs w:val="24"/>
          <w:rtl w:val="0"/>
          <w:lang w:val="en-US"/>
        </w:rPr>
        <w:t xml:space="preserve">74 years old. In this research they found that complications are more likely to arise in patients with no diabetes education. 50 </w:t>
      </w:r>
      <w:r>
        <w:rPr>
          <w:rFonts w:ascii="Times New Roman" w:hAnsi="Times New Roman" w:hint="default"/>
          <w:sz w:val="24"/>
          <w:szCs w:val="24"/>
          <w:rtl w:val="0"/>
          <w:lang w:val="en-US"/>
        </w:rPr>
        <w:t xml:space="preserve">– </w:t>
      </w:r>
      <w:r>
        <w:rPr>
          <w:rFonts w:ascii="Times New Roman" w:hAnsi="Times New Roman"/>
          <w:sz w:val="24"/>
          <w:szCs w:val="24"/>
          <w:rtl w:val="0"/>
          <w:lang w:val="en-US"/>
        </w:rPr>
        <w:t>80 % of individuals have knowledge of the disease management and only 20% of adults were found to receive preventative services of diabetes management. Diabetes causes several other underlining conditions such as kidney failure and amputations that can be severe. Research shows that many patients are not educated enough on diabetes and how it impacts one</w:t>
      </w:r>
      <w:r>
        <w:rPr>
          <w:rFonts w:ascii="Times New Roman" w:hAnsi="Times New Roman" w:hint="default"/>
          <w:sz w:val="24"/>
          <w:szCs w:val="24"/>
          <w:rtl w:val="0"/>
          <w:lang w:val="en-US"/>
        </w:rPr>
        <w:t>’</w:t>
      </w:r>
      <w:r>
        <w:rPr>
          <w:rFonts w:ascii="Times New Roman" w:hAnsi="Times New Roman"/>
          <w:sz w:val="24"/>
          <w:szCs w:val="24"/>
          <w:rtl w:val="0"/>
          <w:lang w:val="en-US"/>
        </w:rPr>
        <w:t xml:space="preserve">s life. Some of the patient barriers fell in the following brackets, financial, access, environmental, and personal. Overall diabetes management requires self-management and patient effort to help control diabetes. </w:t>
      </w:r>
    </w:p>
    <w:p>
      <w:pPr>
        <w:pStyle w:val="Body"/>
        <w:spacing w:after="0" w:line="480" w:lineRule="auto"/>
        <w:ind w:left="720" w:hanging="720"/>
        <w:rPr>
          <w:rFonts w:ascii="Times New Roman" w:cs="Times New Roman" w:hAnsi="Times New Roman" w:eastAsia="Times New Roman"/>
          <w:sz w:val="24"/>
          <w:szCs w:val="24"/>
          <w:lang w:val="en-US"/>
        </w:rPr>
      </w:pPr>
    </w:p>
    <w:p>
      <w:pPr>
        <w:pStyle w:val="Body"/>
        <w:spacing w:after="0" w:line="480" w:lineRule="auto"/>
        <w:ind w:left="720" w:hanging="720"/>
        <w:rPr>
          <w:rFonts w:ascii="Times New Roman" w:cs="Times New Roman" w:hAnsi="Times New Roman" w:eastAsia="Times New Roman"/>
          <w:sz w:val="24"/>
          <w:szCs w:val="24"/>
        </w:rPr>
      </w:pPr>
      <w:r>
        <w:rPr>
          <w:rFonts w:ascii="Times New Roman" w:hAnsi="Times New Roman"/>
          <w:sz w:val="24"/>
          <w:szCs w:val="24"/>
          <w:rtl w:val="0"/>
          <w:lang w:val="en-US"/>
        </w:rPr>
        <w:t>Price, D., Harrow, B., Small, M., Pike, J., &amp; Higgins, V. (2015). Establishing the relationship of inhaler satisfaction, treatment adherence, and patient outcomes: A prospective, real-world, cross-sectional survey of US adult asthma patients and physicians. World Allergy Organization Journal, 8 Retrieved from https://search-proquest-com.contentproxy.phoenix.edu/docview/1772372770?accountid=134061</w:t>
      </w:r>
    </w:p>
    <w:p>
      <w:pPr>
        <w:pStyle w:val="Body"/>
        <w:spacing w:after="0" w:line="480" w:lineRule="auto"/>
        <w:ind w:left="720" w:hanging="720"/>
        <w:rPr>
          <w:rFonts w:ascii="Times New Roman" w:cs="Times New Roman" w:hAnsi="Times New Roman" w:eastAsia="Times New Roman"/>
          <w:sz w:val="24"/>
          <w:szCs w:val="24"/>
          <w:lang w:val="en-US"/>
        </w:rPr>
      </w:pPr>
    </w:p>
    <w:p>
      <w:pPr>
        <w:pStyle w:val="Body"/>
        <w:spacing w:after="0" w:line="480" w:lineRule="auto"/>
        <w:ind w:left="720" w:hanging="720"/>
      </w:pPr>
      <w:r>
        <w:rPr>
          <w:rFonts w:ascii="Times New Roman" w:cs="Times New Roman" w:hAnsi="Times New Roman" w:eastAsia="Times New Roman"/>
          <w:sz w:val="24"/>
          <w:szCs w:val="24"/>
          <w:rtl w:val="0"/>
          <w:lang w:val="en-US"/>
        </w:rPr>
        <w:tab/>
        <w:t>This article talks about Asthma in adults and how satisfied they are with their treatment of inhalers. In this article we find out that the main medication used for adults with chronic asthma is inhaled medication. A research was conducted with 243 patients to see how asthma patients were taking control of their asthma. The research showed that 41% had poor control of their asthma. Physicians reported information such as smoking status, comorbid health conditions, prescribed inhalers, disease knowledge, lung function and more.  However, patients reported that the device function ranged from 4 of 5 when it came to receiving medication to their lungs. Patients were satisfied with the simplicity of the inhalers, durability and compact of the product. Some patients however were concerned with the life span of the inhalers which was 1 month. Overall patients seem to be satisfied with how inhalers helped them with controlling their asthma.</w:t>
      </w:r>
    </w:p>
    <w:sectPr>
      <w:type w:val="continuous"/>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bidi w:val="0"/>
      <w:ind w:left="0" w:right="0" w:firstLine="0"/>
      <w:jc w:val="right"/>
      <w:rPr>
        <w:rtl w:val="0"/>
      </w:rPr>
    </w:pPr>
    <w:r>
      <w:tab/>
    </w:r>
    <w:r>
      <w:rPr>
        <w:rtl w:val="0"/>
        <w:lang w:val="en-US"/>
      </w:rPr>
      <w:t xml:space="preserve"> </w:t>
    </w:r>
    <w:r>
      <w:rPr>
        <w:rtl w:val="0"/>
        <w:lang w:val="en-US"/>
      </w:rPr>
      <w:fldChar w:fldCharType="begin" w:fldLock="0"/>
    </w:r>
    <w:r>
      <w:rPr>
        <w:rtl w:val="0"/>
        <w:lang w:val="en-US"/>
      </w:rPr>
      <w:instrText xml:space="preserve"> PAGE </w:instrText>
    </w:r>
    <w:r>
      <w:rPr>
        <w:rtl w:val="0"/>
        <w:lang w:val="en-US"/>
      </w:rPr>
      <w:fldChar w:fldCharType="separate" w:fldLock="0"/>
    </w:r>
    <w:r>
      <w:rPr>
        <w:rtl w:val="0"/>
        <w:lang w:val="en-US"/>
      </w:rPr>
      <w:t>4</w:t>
    </w:r>
    <w:r>
      <w:rPr>
        <w:rtl w:val="0"/>
        <w:lang w:val="en-US"/>
      </w:rPr>
      <w:fldChar w:fldCharType="end" w:fldLock="0"/>
    </w:r>
  </w:p>
  <w:p>
    <w:pPr>
      <w:pStyle w:val="header"/>
    </w:pPr>
    <w:r>
      <w:r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bidi w:val="0"/>
      <w:ind w:left="0" w:right="0" w:firstLine="0"/>
      <w:jc w:val="right"/>
      <w:rPr>
        <w:rtl w:val="0"/>
      </w:rPr>
    </w:pPr>
    <w:r>
      <w:tab/>
    </w:r>
    <w:r>
      <w:rPr>
        <w:rtl w:val="0"/>
        <w:lang w:val="en-US"/>
      </w:rPr>
      <w:t xml:space="preserve"> </w:t>
    </w:r>
    <w:r>
      <w:rPr>
        <w:rtl w:val="0"/>
        <w:lang w:val="en-US"/>
      </w:rPr>
      <w:fldChar w:fldCharType="begin" w:fldLock="0"/>
    </w:r>
    <w:r>
      <w:rPr>
        <w:rtl w:val="0"/>
        <w:lang w:val="en-US"/>
      </w:rPr>
      <w:instrText xml:space="preserve"> PAGE </w:instrText>
    </w:r>
    <w:r>
      <w:rPr>
        <w:rtl w:val="0"/>
        <w:lang w:val="en-US"/>
      </w:rPr>
      <w:fldChar w:fldCharType="separate" w:fldLock="0"/>
    </w:r>
    <w:r>
      <w:rPr>
        <w:rtl w:val="0"/>
        <w:lang w:val="en-US"/>
      </w:rPr>
      <w:t>1</w:t>
    </w:r>
    <w:r>
      <w:rPr>
        <w:rtl w:val="0"/>
        <w:lang w:val="en-US"/>
      </w:rPr>
      <w:fldChar w:fldCharType="end" w:fldLock="0"/>
    </w:r>
  </w:p>
  <w:p>
    <w:pPr>
      <w:pStyle w:val="header"/>
    </w:pPr>
    <w:r>
      <w:r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320"/>
        <w:tab w:val="right" w:pos="8640"/>
      </w:tabs>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rPr>
  </w:style>
  <w:style w:type="paragraph" w:styleId="APA Header">
    <w:name w:val="APA Header"/>
    <w:next w:val="APA"/>
    <w:pPr>
      <w:keepNext w:val="0"/>
      <w:keepLines w:val="0"/>
      <w:pageBreakBefore w:val="0"/>
      <w:widowControl w:val="1"/>
      <w:shd w:val="clear" w:color="auto" w:fill="auto"/>
      <w:suppressAutoHyphens w:val="0"/>
      <w:bidi w:val="0"/>
      <w:spacing w:before="0" w:after="0" w:line="480" w:lineRule="auto"/>
      <w:ind w:left="0" w:right="0" w:firstLine="0"/>
      <w:jc w:val="center"/>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APA">
    <w:name w:val="APA"/>
    <w:next w:val="APA"/>
    <w:pPr>
      <w:keepNext w:val="0"/>
      <w:keepLines w:val="0"/>
      <w:pageBreakBefore w:val="0"/>
      <w:widowControl w:val="1"/>
      <w:shd w:val="clear" w:color="auto" w:fill="auto"/>
      <w:suppressAutoHyphens w:val="0"/>
      <w:bidi w:val="0"/>
      <w:spacing w:before="0" w:after="0" w:line="480" w:lineRule="auto"/>
      <w:ind w:left="0" w:right="0" w:firstLine="72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